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19 июля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Россети</w:t>
      </w:r>
      <w:proofErr w:type="spellEnd"/>
      <w:r>
        <w:rPr>
          <w:b/>
          <w:color w:val="000000"/>
          <w:sz w:val="28"/>
          <w:szCs w:val="28"/>
        </w:rPr>
        <w:t xml:space="preserve"> Центр и Приволжье Нижновэнерго» продолжает работу по снижению непроизводственных потерь электроэнергии</w:t>
      </w:r>
    </w:p>
    <w:p>
      <w:pPr>
        <w:shd w:val="clear" w:color="auto" w:fill="FFFFFF"/>
        <w:spacing w:after="150" w:line="30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313131"/>
          <w:szCs w:val="29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</w:rPr>
        <w:t xml:space="preserve">В Нижновэнерго заключен </w:t>
      </w:r>
      <w:proofErr w:type="spellStart"/>
      <w:r>
        <w:rPr>
          <w:b/>
          <w:color w:val="000000"/>
          <w:sz w:val="28"/>
          <w:szCs w:val="28"/>
        </w:rPr>
        <w:t>энергосервисный</w:t>
      </w:r>
      <w:proofErr w:type="spellEnd"/>
      <w:r>
        <w:rPr>
          <w:b/>
          <w:color w:val="000000"/>
          <w:sz w:val="28"/>
          <w:szCs w:val="28"/>
        </w:rPr>
        <w:t xml:space="preserve"> контракт, предусматривающий снижение технологического расхода потерь электроэнергии на 195 млн кВт*ч за период 2018-2023 годы.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механизм позволяет организовать учет электроэнергии в районах с высоким уровнем потерь за счет нетарифных источников финансирования, снижая тем самым операционные расходы компании.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 </w:t>
      </w:r>
      <w:proofErr w:type="spellStart"/>
      <w:r>
        <w:rPr>
          <w:color w:val="000000"/>
          <w:sz w:val="28"/>
          <w:szCs w:val="28"/>
        </w:rPr>
        <w:t>энергосервисного</w:t>
      </w:r>
      <w:proofErr w:type="spellEnd"/>
      <w:r>
        <w:rPr>
          <w:color w:val="000000"/>
          <w:sz w:val="28"/>
          <w:szCs w:val="28"/>
        </w:rPr>
        <w:t xml:space="preserve"> контракта обязуется на вверенных участках электрических сетей снизить потери электроэнергии и организовать автоматический сбор показаний при помощи автоматизированной системы учета электроэнергии. Для этого устанавливаются интеллектуальные системы учета у более чем 90 тысяч потребителей на всей территории Нижегородской области.  Установка «умных» счетчиков будет произведена в районах, которые характеризуются высоким уровнем потерь в сети, связанными с хищениями электроэнергии.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конечного потребителя монтаж интеллектуальных приборов учета электроэнергии выполняется на безвозмездной основе, а модуль отображения информации (в том числе показаний) выдается ему абсолютно бесплатно.</w:t>
      </w:r>
      <w:bookmarkStart w:id="0" w:name="_GoBack"/>
      <w:bookmarkEnd w:id="0"/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 счетчик устанавливается на границе балансовой принадлежности на вводном проводе к домовладению абонента, а у потребителя остается только дисплей с текущими показаниями расхода электроэнергии.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Интеллектуальная система учета интегрирована в программное обеспечение энергокомпании и сама передает данные в режиме реального времени. Таким образом, у потребителя не будет возможности каким-либо образом воздействовать на работу прибора учета, а энергетикам для снятия показаний не нужно будет осуществлять обходы потребителей. Кроме того, такой способ организации учета показаний потребителей снимет все разногласия по объемам потребленной электроэнергии между сетевыми и сбытовыми компаниями. 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Счетчики также имеют возможность дистанционного отключения абонента в случае неоплаты электроэнергии, в том числе при попытках потребителя вмешаться в работу прибора учета.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 </w:t>
      </w:r>
      <w:proofErr w:type="spellStart"/>
      <w:r>
        <w:rPr>
          <w:color w:val="000000"/>
          <w:sz w:val="28"/>
          <w:szCs w:val="28"/>
        </w:rPr>
        <w:t>энергосервисного</w:t>
      </w:r>
      <w:proofErr w:type="spellEnd"/>
      <w:r>
        <w:rPr>
          <w:color w:val="000000"/>
          <w:sz w:val="28"/>
          <w:szCs w:val="28"/>
        </w:rPr>
        <w:t xml:space="preserve"> контракта в том, что филиал «Нижновэнерго» не несет тарифных затрат, и данное мероприятие не отразится на конечном тарифе для потребителей. Оплата работ </w:t>
      </w:r>
      <w:proofErr w:type="spellStart"/>
      <w:r>
        <w:rPr>
          <w:color w:val="000000"/>
          <w:sz w:val="28"/>
          <w:szCs w:val="28"/>
        </w:rPr>
        <w:t>энергосервисной</w:t>
      </w:r>
      <w:proofErr w:type="spellEnd"/>
      <w:r>
        <w:rPr>
          <w:color w:val="000000"/>
          <w:sz w:val="28"/>
          <w:szCs w:val="28"/>
        </w:rPr>
        <w:t xml:space="preserve"> компании будет зависеть от экономии, которая сформируется за счет снижения потерь.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устанавливаемые приборы учета электроэнергии имеют следующие технические возможности, создающие удобство учета, в первую очередь, для потребителей: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необходимости ежемесячной передачи показаний с прибора учета в ПАО «ТНС 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 xml:space="preserve"> Нижний Новгород»;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у потребителей обязанности по обслуживанию установленных приборов учета, включая периодическую поверку в связи с истечением срока </w:t>
      </w:r>
      <w:proofErr w:type="spellStart"/>
      <w:r>
        <w:rPr>
          <w:color w:val="000000"/>
          <w:sz w:val="28"/>
          <w:szCs w:val="28"/>
        </w:rPr>
        <w:t>межповерочного</w:t>
      </w:r>
      <w:proofErr w:type="spellEnd"/>
      <w:r>
        <w:rPr>
          <w:color w:val="000000"/>
          <w:sz w:val="28"/>
          <w:szCs w:val="28"/>
        </w:rPr>
        <w:t xml:space="preserve"> интервала, и замену, в случае выхода прибора учета из строя.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установлено более 47 тысяч интеллектуальных приборов учета электроэнергии с возможностью передачи данных в автоматическом режиме.</w:t>
      </w:r>
    </w:p>
    <w:p>
      <w:pPr>
        <w:shd w:val="clear" w:color="auto" w:fill="FFFFFF"/>
        <w:spacing w:after="150" w:line="300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100-33-00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12BFB-71CA-48B1-9736-6D4F764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0111-0E9C-4EC4-A1AC-C52C0375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20</cp:revision>
  <cp:lastPrinted>2017-08-14T06:21:00Z</cp:lastPrinted>
  <dcterms:created xsi:type="dcterms:W3CDTF">2019-06-20T13:12:00Z</dcterms:created>
  <dcterms:modified xsi:type="dcterms:W3CDTF">2019-07-19T06:14:00Z</dcterms:modified>
</cp:coreProperties>
</file>