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6" w:rsidRDefault="00015120"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E6" w:rsidRDefault="00F150E6">
      <w:pPr>
        <w:ind w:firstLine="851"/>
        <w:jc w:val="both"/>
      </w:pPr>
    </w:p>
    <w:p w:rsidR="00F150E6" w:rsidRDefault="00F150E6">
      <w:pPr>
        <w:ind w:firstLine="851"/>
        <w:jc w:val="both"/>
      </w:pPr>
    </w:p>
    <w:p w:rsidR="00F150E6" w:rsidRDefault="00015120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F150E6" w:rsidRDefault="00F150E6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 w:rsidR="00F150E6" w:rsidRDefault="00015120"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 w:rsidR="001144A2">
        <w:rPr>
          <w:rFonts w:ascii="Arial Narrow" w:hAnsi="Arial Narrow" w:cs="Arial"/>
          <w:b/>
          <w:noProof/>
        </w:rPr>
        <w:t>12 сентября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</w:t>
      </w:r>
      <w:r w:rsidR="001144A2">
        <w:rPr>
          <w:rFonts w:ascii="Arial Narrow" w:hAnsi="Arial Narrow" w:cs="Arial"/>
          <w:b/>
        </w:rPr>
        <w:t xml:space="preserve">                  </w:t>
      </w:r>
      <w:r>
        <w:rPr>
          <w:rFonts w:ascii="Arial Narrow" w:hAnsi="Arial Narrow" w:cs="Arial"/>
          <w:b/>
        </w:rPr>
        <w:t xml:space="preserve">             г. Нижний Новгород</w:t>
      </w:r>
    </w:p>
    <w:p w:rsidR="00F150E6" w:rsidRDefault="00F150E6">
      <w:pPr>
        <w:spacing w:after="120"/>
        <w:ind w:firstLine="851"/>
        <w:jc w:val="both"/>
        <w:rPr>
          <w:b/>
          <w:sz w:val="28"/>
          <w:szCs w:val="28"/>
        </w:rPr>
      </w:pPr>
    </w:p>
    <w:p w:rsidR="00F150E6" w:rsidRDefault="00F150E6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F150E6" w:rsidRDefault="00015120" w:rsidP="001144A2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Нижновэнерго предупреждает об ответственности за вандализм на </w:t>
      </w:r>
      <w:proofErr w:type="spellStart"/>
      <w:r>
        <w:rPr>
          <w:b/>
          <w:sz w:val="28"/>
          <w:szCs w:val="28"/>
        </w:rPr>
        <w:t>энергообъектах</w:t>
      </w:r>
      <w:proofErr w:type="spellEnd"/>
    </w:p>
    <w:p w:rsidR="00F150E6" w:rsidRDefault="00015120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«Россети Центр и Приволжье Нижновэнерго» реализует комплекс мероприятий по профилактике вандализма на электроустановках. </w:t>
      </w:r>
    </w:p>
    <w:p w:rsidR="00F150E6" w:rsidRDefault="00015120"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Нижновэнерго напоминает, что любые действия, направленны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на причинение ущерба электросетевому оборудованию (проникновение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трансформаторные подстанции, </w:t>
      </w:r>
      <w:r w:rsidR="001144A2">
        <w:rPr>
          <w:bCs/>
          <w:color w:val="000000"/>
          <w:sz w:val="28"/>
          <w:szCs w:val="28"/>
          <w:shd w:val="clear" w:color="auto" w:fill="FFFFFF"/>
        </w:rPr>
        <w:t>стрельба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144A2">
        <w:rPr>
          <w:bCs/>
          <w:color w:val="000000"/>
          <w:sz w:val="28"/>
          <w:szCs w:val="28"/>
          <w:shd w:val="clear" w:color="auto" w:fill="FFFFFF"/>
        </w:rPr>
        <w:t>по изоляторам</w:t>
      </w:r>
      <w:r>
        <w:rPr>
          <w:bCs/>
          <w:color w:val="000000"/>
          <w:sz w:val="28"/>
          <w:szCs w:val="28"/>
          <w:shd w:val="clear" w:color="auto" w:fill="FFFFFF"/>
        </w:rPr>
        <w:t>, повреждение опор, замков и запирающих устройств, ограждений и зн</w:t>
      </w:r>
      <w:r>
        <w:rPr>
          <w:bCs/>
          <w:color w:val="000000"/>
          <w:sz w:val="28"/>
          <w:szCs w:val="28"/>
          <w:shd w:val="clear" w:color="auto" w:fill="FFFFFF"/>
        </w:rPr>
        <w:t>аков безопасности), являются правонарушением, представляющим угрозу общественной безопасности из-за возможного обесточивания отдельных населенных пунктов</w:t>
      </w:r>
      <w:r w:rsidR="001C2CF6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социально значимых объектов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C2CF6" w:rsidRDefault="00015120"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соответствии со ст. 215.2. УК РФ «Приведение в него</w:t>
      </w:r>
      <w:r>
        <w:rPr>
          <w:bCs/>
          <w:color w:val="000000"/>
          <w:sz w:val="28"/>
          <w:szCs w:val="28"/>
          <w:shd w:val="clear" w:color="auto" w:fill="FFFFFF"/>
        </w:rPr>
        <w:t>дн</w:t>
      </w:r>
      <w:r w:rsidR="001C2CF6">
        <w:rPr>
          <w:bCs/>
          <w:color w:val="000000"/>
          <w:sz w:val="28"/>
          <w:szCs w:val="28"/>
          <w:shd w:val="clear" w:color="auto" w:fill="FFFFFF"/>
        </w:rPr>
        <w:t>ость объектов жизнеобеспечения»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данные преступления караются штрафом в размере от 100 до 500 тысяч рублей или в размере заработной платы или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иного 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>дохода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осужденного за период от одного года до трех лет, либо исправительными работами на срок от одного г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ода до двух лет, либо лишением свободы на срок от одного года до трех лет. </w:t>
      </w:r>
    </w:p>
    <w:p w:rsidR="00F150E6" w:rsidRDefault="00015120" w:rsidP="001C2CF6"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Нижегородские энергетики призывают всех, кому становится известно о случаях вандализма 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энергообъектах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компании, воровства электроэнергии, незаконного подключения к электросетям, изготовления, распространения и применения «заряженных» счетчиков, сообщать об этом в Контакт-центр </w:t>
      </w:r>
      <w:r w:rsidR="001C2CF6">
        <w:rPr>
          <w:bCs/>
          <w:color w:val="000000"/>
          <w:sz w:val="28"/>
          <w:szCs w:val="28"/>
          <w:shd w:val="clear" w:color="auto" w:fill="FFFFFF"/>
        </w:rPr>
        <w:t>«Россети Центр и Приволжье»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 круглосуточному бесплатному номеру 8-800-</w:t>
      </w:r>
      <w:r w:rsidR="001C2CF6">
        <w:rPr>
          <w:bCs/>
          <w:color w:val="000000"/>
          <w:sz w:val="28"/>
          <w:szCs w:val="28"/>
          <w:shd w:val="clear" w:color="auto" w:fill="FFFFFF"/>
        </w:rPr>
        <w:t>50-50-115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по телефону +7 (920) 05-05-777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WhatsApp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Viber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или через анонимную форму обратной связи на официальном сайте компании http://www.mrsk-cp.ru/contacts/soobshchit-o-khishcheniyakh-elektroenergii/.</w:t>
      </w:r>
    </w:p>
    <w:p w:rsidR="00F150E6" w:rsidRDefault="00015120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</w:t>
      </w:r>
      <w:r>
        <w:rPr>
          <w:rFonts w:ascii="Arial Narrow" w:hAnsi="Arial Narrow"/>
          <w:sz w:val="20"/>
          <w:szCs w:val="20"/>
        </w:rPr>
        <w:t>ысяч квадратных километров с населением 3,3 миллиона человек.</w:t>
      </w:r>
    </w:p>
    <w:p w:rsidR="00F150E6" w:rsidRDefault="00015120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является основным поставщиком услуг по передаче электр</w:t>
      </w:r>
      <w:r>
        <w:rPr>
          <w:rFonts w:ascii="Arial Narrow" w:hAnsi="Arial Narrow"/>
          <w:sz w:val="20"/>
          <w:szCs w:val="20"/>
        </w:rPr>
        <w:t xml:space="preserve">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 w:rsidR="00F150E6" w:rsidRDefault="00015120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</w:t>
      </w:r>
      <w:r>
        <w:rPr>
          <w:rFonts w:ascii="Arial Narrow" w:hAnsi="Arial Narrow"/>
          <w:sz w:val="20"/>
          <w:szCs w:val="20"/>
        </w:rPr>
        <w:t xml:space="preserve">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</w:t>
      </w:r>
      <w:r>
        <w:rPr>
          <w:rFonts w:ascii="Arial Narrow" w:hAnsi="Arial Narrow"/>
          <w:sz w:val="20"/>
          <w:szCs w:val="20"/>
        </w:rPr>
        <w:t xml:space="preserve"> энергокомпании насчитывает более 22,3 тыс. человек.</w:t>
      </w:r>
    </w:p>
    <w:p w:rsidR="00F150E6" w:rsidRDefault="00015120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</w:t>
      </w:r>
      <w:r>
        <w:rPr>
          <w:rFonts w:ascii="Arial Narrow" w:hAnsi="Arial Narrow"/>
          <w:sz w:val="20"/>
          <w:szCs w:val="20"/>
        </w:rPr>
        <w:t xml:space="preserve">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</w:t>
      </w:r>
      <w:r>
        <w:rPr>
          <w:rFonts w:ascii="Arial Narrow" w:hAnsi="Arial Narrow"/>
          <w:sz w:val="20"/>
          <w:szCs w:val="20"/>
        </w:rPr>
        <w:t>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150E6" w:rsidRDefault="00F150E6"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 w:rsidR="00F150E6" w:rsidRDefault="00F150E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F150E6" w:rsidRDefault="00015120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 w:rsidR="00F150E6" w:rsidRDefault="00015120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</w:t>
      </w:r>
      <w:r>
        <w:rPr>
          <w:rFonts w:ascii="Arial Narrow" w:hAnsi="Arial Narrow"/>
          <w:b/>
          <w:iCs/>
        </w:rPr>
        <w:t xml:space="preserve"> и Приволжье Нижновэнерго»</w:t>
      </w:r>
    </w:p>
    <w:p w:rsidR="00F150E6" w:rsidRDefault="00015120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 w:rsidR="00F150E6" w:rsidRDefault="00F150E6">
      <w:pPr>
        <w:ind w:left="6096"/>
        <w:jc w:val="both"/>
        <w:rPr>
          <w:rFonts w:ascii="Arial Narrow" w:hAnsi="Arial Narrow"/>
          <w:b/>
          <w:iCs/>
        </w:rPr>
      </w:pPr>
    </w:p>
    <w:p w:rsidR="00F150E6" w:rsidRDefault="00015120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 w:rsidR="00F150E6" w:rsidRDefault="00015120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 w:rsidR="00F150E6" w:rsidRDefault="00015120"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 w:rsidR="00F150E6" w:rsidRDefault="00F150E6">
      <w:pPr>
        <w:autoSpaceDE w:val="0"/>
        <w:autoSpaceDN w:val="0"/>
        <w:adjustRightInd w:val="0"/>
        <w:jc w:val="both"/>
        <w:rPr>
          <w:iCs/>
        </w:rPr>
      </w:pPr>
    </w:p>
    <w:sectPr w:rsidR="00F150E6"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20" w:rsidRDefault="00015120">
      <w:r>
        <w:separator/>
      </w:r>
    </w:p>
  </w:endnote>
  <w:endnote w:type="continuationSeparator" w:id="0">
    <w:p w:rsidR="00015120" w:rsidRDefault="000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E6" w:rsidRDefault="00015120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 w:rsidR="00F150E6" w:rsidRDefault="00015120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20" w:rsidRDefault="00015120">
      <w:r>
        <w:separator/>
      </w:r>
    </w:p>
  </w:footnote>
  <w:footnote w:type="continuationSeparator" w:id="0">
    <w:p w:rsidR="00015120" w:rsidRDefault="000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8301D75"/>
    <w:multiLevelType w:val="multilevel"/>
    <w:tmpl w:val="8E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E6"/>
    <w:rsid w:val="00015120"/>
    <w:rsid w:val="001144A2"/>
    <w:rsid w:val="001C2CF6"/>
    <w:rsid w:val="00F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F542"/>
  <w15:docId w15:val="{831C42E4-EC41-441C-8CA5-5E92B39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5BC7-64DF-4BEC-9CA3-11218B1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Акимова Екатерина Олеговна</cp:lastModifiedBy>
  <cp:revision>7</cp:revision>
  <cp:lastPrinted>2017-08-14T06:21:00Z</cp:lastPrinted>
  <dcterms:created xsi:type="dcterms:W3CDTF">2019-09-05T07:24:00Z</dcterms:created>
  <dcterms:modified xsi:type="dcterms:W3CDTF">2019-09-12T08:28:00Z</dcterms:modified>
</cp:coreProperties>
</file>