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53" w:rsidRPr="0006650B" w:rsidRDefault="00D76053" w:rsidP="000665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6053">
        <w:rPr>
          <w:rFonts w:ascii="Times New Roman" w:hAnsi="Times New Roman" w:cs="Times New Roman"/>
          <w:b/>
          <w:i/>
          <w:sz w:val="28"/>
          <w:szCs w:val="28"/>
        </w:rPr>
        <w:t>Отчет о финансово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6053">
        <w:rPr>
          <w:rFonts w:ascii="Times New Roman" w:hAnsi="Times New Roman" w:cs="Times New Roman"/>
          <w:b/>
          <w:i/>
          <w:sz w:val="28"/>
          <w:szCs w:val="28"/>
        </w:rPr>
        <w:t xml:space="preserve">экономическом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состоянии  Управления сельского хозяйства и земельной реформы администрации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Починковско</w:t>
      </w:r>
      <w:r w:rsidR="00253B09">
        <w:rPr>
          <w:rFonts w:ascii="Times New Roman" w:hAnsi="Times New Roman" w:cs="Times New Roman"/>
          <w:b/>
          <w:i/>
          <w:sz w:val="28"/>
          <w:szCs w:val="28"/>
        </w:rPr>
        <w:t>го</w:t>
      </w:r>
      <w:proofErr w:type="spellEnd"/>
      <w:r w:rsidR="00253B09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округа за 2021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D76053" w:rsidRPr="0006650B" w:rsidRDefault="00D76053" w:rsidP="00D76053">
      <w:pPr>
        <w:jc w:val="center"/>
        <w:rPr>
          <w:rFonts w:ascii="Times New Roman" w:hAnsi="Times New Roman" w:cs="Times New Roman"/>
          <w:b/>
        </w:rPr>
      </w:pPr>
      <w:r w:rsidRPr="0006650B">
        <w:rPr>
          <w:rFonts w:ascii="Times New Roman" w:hAnsi="Times New Roman" w:cs="Times New Roman"/>
          <w:b/>
        </w:rPr>
        <w:t>Организационная структура субъекта бюджетной отчетности</w:t>
      </w:r>
      <w:r w:rsidR="009205B2" w:rsidRPr="0006650B">
        <w:rPr>
          <w:rFonts w:ascii="Times New Roman" w:hAnsi="Times New Roman" w:cs="Times New Roman"/>
          <w:b/>
        </w:rPr>
        <w:t>:</w:t>
      </w:r>
    </w:p>
    <w:p w:rsidR="00253B09" w:rsidRPr="0006650B" w:rsidRDefault="00D76053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53B09" w:rsidRPr="0006650B"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и земельной реформы администрации </w:t>
      </w:r>
      <w:proofErr w:type="spellStart"/>
      <w:r w:rsidR="00253B09" w:rsidRPr="0006650B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="00253B09" w:rsidRPr="0006650B">
        <w:rPr>
          <w:rFonts w:ascii="Times New Roman" w:hAnsi="Times New Roman" w:cs="Times New Roman"/>
          <w:sz w:val="24"/>
          <w:szCs w:val="24"/>
        </w:rPr>
        <w:t xml:space="preserve"> муниципального округа Нижегородской области является структурным подразделением администрации округа, осуществляющим государственное регулирование и координацию деятельности предприятий и других субъектов агропромышленного комплекса округа сельской инфраструктуры, на основании Закона Нижегородской области от 11 ноября 2005 года № 176-З «О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производства».</w:t>
      </w:r>
      <w:proofErr w:type="gramEnd"/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     Управление сельского хозяйства осуществляет свою непосредственную деятельность под руководством главы администрации </w:t>
      </w:r>
      <w:proofErr w:type="spellStart"/>
      <w:r w:rsidRPr="0006650B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06650B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     Организационно-методическое руководство деятельностью управления сельского хозяйства по вопросам реализации государственной аграрной политики в округе осуществляет Министерство сельского хозяйства и продовольственных ресурсов Нижегородской области.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     Управление сельского хозяйства возглавляет начальник, который назначается и освобождается от должности распоряжением главы администрации </w:t>
      </w:r>
      <w:proofErr w:type="spellStart"/>
      <w:r w:rsidRPr="0006650B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06650B">
        <w:rPr>
          <w:rFonts w:ascii="Times New Roman" w:hAnsi="Times New Roman" w:cs="Times New Roman"/>
          <w:sz w:val="24"/>
          <w:szCs w:val="24"/>
        </w:rPr>
        <w:t xml:space="preserve"> муниципального округа по согласованию с министром Министерства сельского хозяйства и продовольственных ресурсов Нижегородской области.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     Целью деятельности управления сельского хозяйства является развитие сельского хозяйства </w:t>
      </w:r>
      <w:proofErr w:type="spellStart"/>
      <w:r w:rsidRPr="0006650B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06650B">
        <w:rPr>
          <w:rFonts w:ascii="Times New Roman" w:hAnsi="Times New Roman" w:cs="Times New Roman"/>
          <w:sz w:val="24"/>
          <w:szCs w:val="24"/>
        </w:rPr>
        <w:t xml:space="preserve"> муниципального округа Нижегородской области, его производственной и социальной инфраструктуры путем государственного регулирования и координации деятельности отраслей АПК во взаимодействии с другими секторами народного хозяйства.</w:t>
      </w:r>
    </w:p>
    <w:p w:rsidR="00253B09" w:rsidRPr="0006650B" w:rsidRDefault="00253B09" w:rsidP="00077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0B">
        <w:rPr>
          <w:rFonts w:ascii="Times New Roman" w:hAnsi="Times New Roman" w:cs="Times New Roman"/>
          <w:b/>
          <w:sz w:val="24"/>
          <w:szCs w:val="24"/>
        </w:rPr>
        <w:t>Основные задачи управления сельского хозяйства: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- обеспечение реализации законодательства Российской Федерации и Нижегородской области, других решений государственных органов власти и местного самоуправления, в том числе обеспечение государственного контроля, надзора, инспектирования в сельскохозяйственных предприятиях и организациях округа в соответствии с требованиями действующего законодательства; 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- реализация программ путем использования программно – целевых методов и форм обеспечения работ и мероприятий по стабилизации и развитию агропромышленного комплекса округа; 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- реализация в округе государственной политики поддержки сельскохозяйственных производителей и других предприятий АПК и его секторов; 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lastRenderedPageBreak/>
        <w:t xml:space="preserve">- содействие развитию в сельскохозяйственном производстве рыночных отношений, предпринимательской деятельности, агропромышленной кооперации и интеграции производства и соответствующих им структур и звеньев АПК; 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- распространение передовых методов хозяйствования и технологий; 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- организация подготовки и повышения квалификации кадров для аграрного сектора округа; 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- проведение инвестиционной политики и </w:t>
      </w:r>
      <w:proofErr w:type="gramStart"/>
      <w:r w:rsidRPr="0006650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6650B">
        <w:rPr>
          <w:rFonts w:ascii="Times New Roman" w:hAnsi="Times New Roman" w:cs="Times New Roman"/>
          <w:sz w:val="24"/>
          <w:szCs w:val="24"/>
        </w:rPr>
        <w:t xml:space="preserve"> реализацией целевых комплексных программ социального развития села.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     Управление наделено следующими отдельными государственными полномочиями Нижегородской области по поддержке сельскохозяйственного производства: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>- анализ состояния экономики и разработка прогнозов развития сельскохозяйственного производства округа на краткосрочную, среднесрочную и долгосрочную перспективу;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>- распределение бюджетных ресурсов, выделенных из средств федерального, областного бюджетов, доведение их до организаций агропромышленного комплекса – получателей субсидий в соответствии с законодательством Российской Федерации и Нижегородской области;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>- организация исполнения на территории округа нормативных требований в области семеноводства, племенного животноводства, мелиорации земель;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>- организация исполнения агротехнических, агрохимических, мелиоративных, фитосанитарных и противоэрозийных мероприятий по обеспечению плодородия земель сельскохозяйственного назначения;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>- ведение учета посевных площадей, сортовых посевов, поголовья всех видов скота, племенных животных;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>- содействие внедрению в агропромышленный комплекс округа прогрессивных достижений науки и техники, отечественного и зарубежного опыта производства, информационное и консультационное обеспечение сельскохозяйственного производства;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- организация мероприятий по подготовке, переподготовке и повышению квалификации руководителей и специалистов организаций – </w:t>
      </w:r>
      <w:proofErr w:type="spellStart"/>
      <w:r w:rsidRPr="0006650B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06650B">
        <w:rPr>
          <w:rFonts w:ascii="Times New Roman" w:hAnsi="Times New Roman" w:cs="Times New Roman"/>
          <w:sz w:val="24"/>
          <w:szCs w:val="24"/>
        </w:rPr>
        <w:t>;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06650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6650B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по социальной защите работников агропромышленного комплекса;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>- реализация государственной политики в области охраны труда в агропромышленном комплексе, участие в установленном порядке в расследовании несчастных случаев на производстве и профессиональных заболеваний;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>- проведение экспертизы технико-экономических обоснований, проектов и бизнес-планов, представленных на инвестиционные конкурсы;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>- организация химизации и защиты сельскохозяйственных растений;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lastRenderedPageBreak/>
        <w:t>- содействие формированию в агропромышленном комплексе рыночных отношений, развитию предпринимательства, кооперации, агропромышленной интеграции, организации рынка сельскохозяйственной продукции, сырья и продовольствия;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>- организация мероприятий по привлечению трудовых ресурсов и обеспечению их занятости в сельскохозяйственном производстве;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>- организация системы информации на рынке сельскохозяйственной продукции и продовольствия;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>- организация на территории округа мероприятий, предусмотренных  приоритетным национальным проектом «Развитие агропромышленного комплекса».</w:t>
      </w:r>
    </w:p>
    <w:p w:rsidR="00253B09" w:rsidRPr="0006650B" w:rsidRDefault="00253B09" w:rsidP="00077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0B">
        <w:rPr>
          <w:rFonts w:ascii="Times New Roman" w:hAnsi="Times New Roman" w:cs="Times New Roman"/>
          <w:b/>
          <w:sz w:val="24"/>
          <w:szCs w:val="24"/>
        </w:rPr>
        <w:t>Результаты деятельности субъекта бюджетной отчетности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     Управление сельского хозяйства и земельной реформы финансируется за счет бюджетных средств, направленных на обеспечение государственных полномочий в области сельскохозяйственного производства, предусмотренных законодательством Российской Федерации, нормативными актами субъекта РФ и органа местного самоуправления.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     Финансовые средства, необходимые управлению сельского хозяйства и земельной реформы для осуществления государственных полномочий, ежегодно предусматриваются в законе Нижегородской области об областном  бюджете на очередной финансовый год в форме субвенций.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     В  2021 году на финансовое обеспечение деятельности управления сельского хозяйства и земельной реформы выделены денежные средства в сумме 114 345 027,22 руб., 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>в том числе: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>- субвенции из областного бюджета — в сумме 113 873 521,22 руб.;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>- из местного бюджета — 471506,00 руб.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     Кассовые расходы управления сельского хозяйства за 2021 год составили 114 345 027,22 руб.</w:t>
      </w:r>
    </w:p>
    <w:p w:rsidR="000778F7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     В 2021 году в управлении сельского хозяйства и земельной реформы произошли кадровые изменения. Один сотрудник ушел в отпуск по уходу за ребенком. Был принят новый сотрудник. На 1 января 2021 года численность работников составила</w:t>
      </w:r>
      <w:r w:rsidR="000778F7" w:rsidRPr="0006650B">
        <w:rPr>
          <w:rFonts w:ascii="Times New Roman" w:hAnsi="Times New Roman" w:cs="Times New Roman"/>
          <w:sz w:val="24"/>
          <w:szCs w:val="24"/>
        </w:rPr>
        <w:t xml:space="preserve"> 8 человек (10 штатных единиц).</w:t>
      </w:r>
    </w:p>
    <w:p w:rsidR="00253B09" w:rsidRPr="0006650B" w:rsidRDefault="00253B09" w:rsidP="00077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0B">
        <w:rPr>
          <w:rFonts w:ascii="Times New Roman" w:hAnsi="Times New Roman" w:cs="Times New Roman"/>
          <w:b/>
          <w:sz w:val="24"/>
          <w:szCs w:val="24"/>
        </w:rPr>
        <w:t>Анализ отчета об исполнении бюджета субъектом бюджетной отчетности.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     На 2021 год управлению сельского хозяйства и земельной реформы утверждены бюджетные назначения по доходам в сумме 113 873 521,22 руб. Исполнение бюджетных назначений составило 113 873 521,22 руб., или 100 %. Решением Земского  утверждены бюджетные назначения за счет средств бюджета </w:t>
      </w:r>
      <w:proofErr w:type="spellStart"/>
      <w:r w:rsidRPr="0006650B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06650B">
        <w:rPr>
          <w:rFonts w:ascii="Times New Roman" w:hAnsi="Times New Roman" w:cs="Times New Roman"/>
          <w:sz w:val="24"/>
          <w:szCs w:val="24"/>
        </w:rPr>
        <w:t xml:space="preserve"> муниципального округа в сумме 471 506,00 руб.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lastRenderedPageBreak/>
        <w:t xml:space="preserve">     Бюджетные назначения по расходам утверждены в сумме 114 345 027,22 руб.; исполнение за 2021 год составило 114 345 027,22 руб., или 100 %.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     Данные показатели исполнения бюджета по расходам подлежат отражению в форме 0503164 "Сведения об исполнении бюджета".</w:t>
      </w:r>
    </w:p>
    <w:p w:rsidR="00253B09" w:rsidRPr="0006650B" w:rsidRDefault="00253B09" w:rsidP="00077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50B">
        <w:rPr>
          <w:rFonts w:ascii="Times New Roman" w:hAnsi="Times New Roman" w:cs="Times New Roman"/>
          <w:b/>
          <w:sz w:val="24"/>
          <w:szCs w:val="24"/>
        </w:rPr>
        <w:t>Анализ показателей бухгалтерской отчетности субъекта бюджетной отчетности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     Согласно данным отчета о финансовых результатах деятельности (ф. 0503121) за 2021 год управлением сельского хозяйства и земельной реформы получены доходы в сумме  113 873 521,22 руб., в том числе: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>- безвозмездные поступления из областного бюджета -          113 873 521,22 руб.;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     Фактические расходы управления сельского хозяйства за 2021 год составили 114 345 027,22 руб. Чистый операционный результат составил                            - 471 506,00 руб.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    В 2021 году в Управлении сельского хозяйства и земельной реформы основные средства не приобретались.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     Дебиторская задолженность по состоянию на 01.01.2022 года составила 95 555,20 руб., в том числе: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- за электроэнергию – в сумме 191,25 руб. – оплата за декабрь 2021 года, так как договором от 01.01.2021г № 8107000 (ПАО «ТНС </w:t>
      </w:r>
      <w:proofErr w:type="spellStart"/>
      <w:r w:rsidRPr="0006650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06650B">
        <w:rPr>
          <w:rFonts w:ascii="Times New Roman" w:hAnsi="Times New Roman" w:cs="Times New Roman"/>
          <w:sz w:val="24"/>
          <w:szCs w:val="24"/>
        </w:rPr>
        <w:t xml:space="preserve"> Нижний Новгород») предусмотрено авансирование за потребленную электрическую энергию);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- за ГСМ – в сумме 91 027,50 руб. – договорами  № 90 от 27.09.2021г.,  </w:t>
      </w:r>
      <w:proofErr w:type="gramStart"/>
      <w:r w:rsidRPr="000665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6650B">
        <w:rPr>
          <w:rFonts w:ascii="Times New Roman" w:hAnsi="Times New Roman" w:cs="Times New Roman"/>
          <w:sz w:val="24"/>
          <w:szCs w:val="24"/>
        </w:rPr>
        <w:t>с ИП Дмитриева В.А.) предусмотрено авансирование за поставляемые нефтепродукты. Фактический же расход ГСМ за 2021 год оказался меньше запланированного. В результате этого обязательства по договорам подлежат исполнению в 2022 году</w:t>
      </w:r>
      <w:proofErr w:type="gramStart"/>
      <w:r w:rsidRPr="000665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650B">
        <w:rPr>
          <w:rFonts w:ascii="Times New Roman" w:hAnsi="Times New Roman" w:cs="Times New Roman"/>
          <w:sz w:val="24"/>
          <w:szCs w:val="24"/>
        </w:rPr>
        <w:t xml:space="preserve">                          - </w:t>
      </w:r>
      <w:proofErr w:type="gramStart"/>
      <w:r w:rsidRPr="0006650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6650B">
        <w:rPr>
          <w:rFonts w:ascii="Times New Roman" w:hAnsi="Times New Roman" w:cs="Times New Roman"/>
          <w:sz w:val="24"/>
          <w:szCs w:val="24"/>
        </w:rPr>
        <w:t xml:space="preserve">а услуги связи в сумме - 156,91 руб. - ПАО "Ростелеком"   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>- по оплате за загрязнение окружающей среды - в сумме        4 179,54 руб. - в течение 2016 года были предусмотрены авансовые платежи по оплате за загрязнение окружающей среды. Расчет размера платы за загрязнение окружающей среды производится в начале 2017 года. Фактическая плата за загрязнение окружающей среды за 2017 год оказалась меньше суммы авансовых платежей. В связи с этим образовалась дебиторская задолженность.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 Кредиторской задолженнос</w:t>
      </w:r>
      <w:r w:rsidR="0006650B" w:rsidRPr="0006650B">
        <w:rPr>
          <w:rFonts w:ascii="Times New Roman" w:hAnsi="Times New Roman" w:cs="Times New Roman"/>
          <w:sz w:val="24"/>
          <w:szCs w:val="24"/>
        </w:rPr>
        <w:t>ти на 01.01.2022 года нет</w:t>
      </w:r>
      <w:r w:rsidRPr="0006650B">
        <w:rPr>
          <w:rFonts w:ascii="Times New Roman" w:hAnsi="Times New Roman" w:cs="Times New Roman"/>
          <w:sz w:val="24"/>
          <w:szCs w:val="24"/>
        </w:rPr>
        <w:t>.</w:t>
      </w:r>
    </w:p>
    <w:p w:rsidR="00253B09" w:rsidRPr="0006650B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 В 2021 году Управлением сельского хозяйства и земельной реформы не оформлялись бюджетные кре</w:t>
      </w:r>
      <w:r w:rsidR="0006650B" w:rsidRPr="0006650B">
        <w:rPr>
          <w:rFonts w:ascii="Times New Roman" w:hAnsi="Times New Roman" w:cs="Times New Roman"/>
          <w:sz w:val="24"/>
          <w:szCs w:val="24"/>
        </w:rPr>
        <w:t>диты</w:t>
      </w:r>
      <w:r w:rsidRPr="0006650B">
        <w:rPr>
          <w:rFonts w:ascii="Times New Roman" w:hAnsi="Times New Roman" w:cs="Times New Roman"/>
          <w:sz w:val="24"/>
          <w:szCs w:val="24"/>
        </w:rPr>
        <w:t>.</w:t>
      </w:r>
    </w:p>
    <w:p w:rsidR="00253B09" w:rsidRDefault="00253B09" w:rsidP="00253B09">
      <w:pPr>
        <w:rPr>
          <w:rFonts w:ascii="Times New Roman" w:hAnsi="Times New Roman" w:cs="Times New Roman"/>
          <w:sz w:val="24"/>
          <w:szCs w:val="24"/>
        </w:rPr>
      </w:pPr>
      <w:r w:rsidRPr="0006650B">
        <w:rPr>
          <w:rFonts w:ascii="Times New Roman" w:hAnsi="Times New Roman" w:cs="Times New Roman"/>
          <w:sz w:val="24"/>
          <w:szCs w:val="24"/>
        </w:rPr>
        <w:t xml:space="preserve">В форме 0503173 отразилось изменение валюты баланса на сумму 33 300,00 руб. Стоимость </w:t>
      </w:r>
      <w:proofErr w:type="spellStart"/>
      <w:r w:rsidRPr="0006650B">
        <w:rPr>
          <w:rFonts w:ascii="Times New Roman" w:hAnsi="Times New Roman" w:cs="Times New Roman"/>
          <w:sz w:val="24"/>
          <w:szCs w:val="24"/>
        </w:rPr>
        <w:t>програмных</w:t>
      </w:r>
      <w:proofErr w:type="spellEnd"/>
      <w:r w:rsidRPr="0006650B">
        <w:rPr>
          <w:rFonts w:ascii="Times New Roman" w:hAnsi="Times New Roman" w:cs="Times New Roman"/>
          <w:sz w:val="24"/>
          <w:szCs w:val="24"/>
        </w:rPr>
        <w:t xml:space="preserve"> продуктов числилась на </w:t>
      </w:r>
      <w:proofErr w:type="spellStart"/>
      <w:r w:rsidRPr="0006650B">
        <w:rPr>
          <w:rFonts w:ascii="Times New Roman" w:hAnsi="Times New Roman" w:cs="Times New Roman"/>
          <w:sz w:val="24"/>
          <w:szCs w:val="24"/>
        </w:rPr>
        <w:t>забалановом</w:t>
      </w:r>
      <w:proofErr w:type="spellEnd"/>
      <w:r w:rsidRPr="0006650B">
        <w:rPr>
          <w:rFonts w:ascii="Times New Roman" w:hAnsi="Times New Roman" w:cs="Times New Roman"/>
          <w:sz w:val="24"/>
          <w:szCs w:val="24"/>
        </w:rPr>
        <w:t xml:space="preserve"> счете 01 (имущество, полученное в пользование)  в связи с внедрением новых федеральных стандартов бухгалтерского учета государственных финансов, программы теперь отражаются  в балансовой стоимости прав пользования активами по счету 111.61 </w:t>
      </w:r>
    </w:p>
    <w:bookmarkStart w:id="0" w:name="_GoBack"/>
    <w:p w:rsidR="00396869" w:rsidRPr="0006650B" w:rsidRDefault="00396869" w:rsidP="00253B09">
      <w:pPr>
        <w:rPr>
          <w:rFonts w:ascii="Times New Roman" w:hAnsi="Times New Roman" w:cs="Times New Roman"/>
          <w:sz w:val="24"/>
          <w:szCs w:val="24"/>
        </w:rPr>
      </w:pPr>
      <w:r w:rsidRPr="00396869">
        <w:rPr>
          <w:rFonts w:ascii="Times New Roman" w:hAnsi="Times New Roman" w:cs="Times New Roman"/>
          <w:sz w:val="24"/>
          <w:szCs w:val="24"/>
        </w:rPr>
        <w:object w:dxaOrig="9210" w:dyaOrig="12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63.75pt" o:ole="">
            <v:imagedata r:id="rId5" o:title=""/>
          </v:shape>
          <o:OLEObject Type="Embed" ProgID="AcroExch.Document.11" ShapeID="_x0000_i1025" DrawAspect="Content" ObjectID="_1711275210" r:id="rId6"/>
        </w:object>
      </w:r>
      <w:bookmarkEnd w:id="0"/>
    </w:p>
    <w:sectPr w:rsidR="00396869" w:rsidRPr="0006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FF"/>
    <w:rsid w:val="0006650B"/>
    <w:rsid w:val="000778F7"/>
    <w:rsid w:val="00253B09"/>
    <w:rsid w:val="00396869"/>
    <w:rsid w:val="004640B7"/>
    <w:rsid w:val="009205B2"/>
    <w:rsid w:val="00C245FF"/>
    <w:rsid w:val="00D7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2022-04-11T12:48:00Z</cp:lastPrinted>
  <dcterms:created xsi:type="dcterms:W3CDTF">2022-04-11T10:23:00Z</dcterms:created>
  <dcterms:modified xsi:type="dcterms:W3CDTF">2022-04-12T10:27:00Z</dcterms:modified>
</cp:coreProperties>
</file>